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ab/>
        <w:t xml:space="preserve">                                                                                                                                                                               Додаток D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ind w:left="142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              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ПОКАЗНИКИ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результативності на 2025-2026 роки з реалізації Національної стратегії </w:t>
        <w:br w:type="textWrapping"/>
        <w:t xml:space="preserve">із створення безбар’єрного простору в Україні на період до 2030 року станом на вересень 2025  року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016.000000000002" w:type="dxa"/>
        <w:jc w:val="left"/>
        <w:tblLayout w:type="fixed"/>
        <w:tblLook w:val="0400"/>
      </w:tblPr>
      <w:tblGrid>
        <w:gridCol w:w="2967"/>
        <w:gridCol w:w="2268"/>
        <w:gridCol w:w="3260"/>
        <w:gridCol w:w="3119"/>
        <w:gridCol w:w="3402"/>
        <w:tblGridChange w:id="0">
          <w:tblGrid>
            <w:gridCol w:w="2967"/>
            <w:gridCol w:w="2268"/>
            <w:gridCol w:w="3260"/>
            <w:gridCol w:w="3119"/>
            <w:gridCol w:w="340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Мета/цілі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Показник*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Засоби моніторингу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ind w:left="-51" w:right="-52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Джерело даних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Метод збору даних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ind w:left="-139" w:right="-65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Результат 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016.000000000002" w:type="dxa"/>
        <w:jc w:val="left"/>
        <w:tblLayout w:type="fixed"/>
        <w:tblLook w:val="0400"/>
      </w:tblPr>
      <w:tblGrid>
        <w:gridCol w:w="2967"/>
        <w:gridCol w:w="2268"/>
        <w:gridCol w:w="3260"/>
        <w:gridCol w:w="3119"/>
        <w:gridCol w:w="3402"/>
        <w:tblGridChange w:id="0">
          <w:tblGrid>
            <w:gridCol w:w="2967"/>
            <w:gridCol w:w="2268"/>
            <w:gridCol w:w="3260"/>
            <w:gridCol w:w="3119"/>
            <w:gridCol w:w="3402"/>
          </w:tblGrid>
        </w:tblGridChange>
      </w:tblGrid>
      <w:tr>
        <w:trPr>
          <w:cantSplit w:val="0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Напрям 5. Освітня безбар’єрність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Стратегічна ціль. Кожна людина має можливість розкрити свій потенціал та отримати професію завдяки інклюзивній освіті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101. Надання  соціальної послуги супроводу здобувача освіти під час інклюзивного навчання (для здобувача освіти)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ind w:right="-56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Моніторинг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Так/ні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ind w:firstLine="283.464566929134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 закладах освіти Широківської ТГ не надається соціальна послуга супроводу здобувача освіти під час інклюзивного навчання (посаду асистент учня не передбачено)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ab/>
        <w:tab/>
        <w:tab/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Начальник відділу освіти                                                                       Денис ІВАНІЧЕНКО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Широківської сільської ради</w:t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850" w:top="1417" w:left="850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0neFCr6z27eJLZX5DHT2BlMIsg==">CgMxLjA4AHIhMWs4aFAxdUg1am5NNmQtRjJ4Y3lOX1NOeGxudEpSWkVD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2025-09-11T07:14:00Z</dcterms:created>
  <dc:creator>Administrator</dc:creator>
</cp:coreProperties>
</file>